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drawing>
          <wp:inline distB="0" distT="0" distL="0" distR="0">
            <wp:extent cx="2740421" cy="17011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740421" cy="1701125"/>
                    </a:xfrm>
                    <a:prstGeom prst="rect"/>
                    <a:ln/>
                  </pic:spPr>
                </pic:pic>
              </a:graphicData>
            </a:graphic>
          </wp:inline>
        </w:drawing>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8"/>
          <w:szCs w:val="28"/>
          <w:u w:val="single"/>
          <w:rtl w:val="0"/>
        </w:rPr>
        <w:t xml:space="preserve">Life Science STEM Academy Syllabus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Tuesday, 5:00-7:30pm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Instructors:</w:t>
      </w:r>
      <w:r w:rsidDel="00000000" w:rsidR="00000000" w:rsidRPr="00000000">
        <w:rPr>
          <w:rFonts w:ascii="Times New Roman" w:cs="Times New Roman" w:eastAsia="Times New Roman" w:hAnsi="Times New Roman"/>
          <w:color w:val="000000"/>
          <w:rtl w:val="0"/>
        </w:rPr>
        <w:t xml:space="preserve"> Melissa Garcia, </w:t>
      </w:r>
      <w:r w:rsidDel="00000000" w:rsidR="00000000" w:rsidRPr="00000000">
        <w:rPr>
          <w:rFonts w:ascii="Times New Roman" w:cs="Times New Roman" w:eastAsia="Times New Roman" w:hAnsi="Times New Roman"/>
          <w:rtl w:val="0"/>
        </w:rPr>
        <w:t xml:space="preserve">Kevin Okun, Keyshawn Boss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Instructional Support</w:t>
      </w:r>
      <w:r w:rsidDel="00000000" w:rsidR="00000000" w:rsidRPr="00000000">
        <w:rPr>
          <w:rFonts w:ascii="Times New Roman" w:cs="Times New Roman" w:eastAsia="Times New Roman" w:hAnsi="Times New Roman"/>
          <w:color w:val="000000"/>
          <w:rtl w:val="0"/>
        </w:rPr>
        <w:t xml:space="preserve">: Sandra Stri</w:t>
      </w:r>
      <w:r w:rsidDel="00000000" w:rsidR="00000000" w:rsidRPr="00000000">
        <w:rPr>
          <w:rFonts w:ascii="Times New Roman" w:cs="Times New Roman" w:eastAsia="Times New Roman" w:hAnsi="Times New Roman"/>
          <w:rtl w:val="0"/>
        </w:rPr>
        <w:t xml:space="preserve">ttmatter, </w:t>
      </w:r>
      <w:r w:rsidDel="00000000" w:rsidR="00000000" w:rsidRPr="00000000">
        <w:rPr>
          <w:rFonts w:ascii="Times New Roman" w:cs="Times New Roman" w:eastAsia="Times New Roman" w:hAnsi="Times New Roman"/>
          <w:color w:val="000000"/>
          <w:rtl w:val="0"/>
        </w:rPr>
        <w:t xml:space="preserve">David McKinney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Location</w:t>
      </w:r>
      <w:r w:rsidDel="00000000" w:rsidR="00000000" w:rsidRPr="00000000">
        <w:rPr>
          <w:rFonts w:ascii="Times New Roman" w:cs="Times New Roman" w:eastAsia="Times New Roman" w:hAnsi="Times New Roman"/>
          <w:color w:val="000000"/>
          <w:rtl w:val="0"/>
        </w:rPr>
        <w:t xml:space="preserve">: JHU School of Education, 2800 N. Charles St., Room 216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Email</w:t>
      </w:r>
      <w:r w:rsidDel="00000000" w:rsidR="00000000" w:rsidRPr="00000000">
        <w:rPr>
          <w:rFonts w:ascii="Times New Roman" w:cs="Times New Roman" w:eastAsia="Times New Roman" w:hAnsi="Times New Roman"/>
          <w:color w:val="000000"/>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magarcia@bcps.k12.md.us</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kgokun@bcps.k12.md.us</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knjenkins@bcps.k12.md.us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Description: </w:t>
      </w:r>
      <w:r w:rsidDel="00000000" w:rsidR="00000000" w:rsidRPr="00000000">
        <w:rPr>
          <w:rFonts w:ascii="Times New Roman" w:cs="Times New Roman" w:eastAsia="Times New Roman" w:hAnsi="Times New Roman"/>
          <w:color w:val="000000"/>
          <w:rtl w:val="0"/>
        </w:rPr>
        <w:t xml:space="preserve">This course is designed as an introduction to life science concepts addressed in the Next Generation Science Standards. Topics will include: Matter and Energy in living systems; Heredity; Evolution and Natural Selection; and Application of Life Sciences in Engineering. This course is designed to deepen understanding of life science to increase your confidence in teaching this content through inquiry-based instruction.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Objectives: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 life science content knowledge and related pedagogic skills to improve student learning and achievement</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Apply newly acquired content knowledge to correct common student misconceptions and other learning activities</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analyze, and reflect on issues in science teaching and learning</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Practice hands-on, inquiry-based learning and learn implementation approaches for particular classroom settings</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an understanding of science content, pedagogy, and science and engineering practices necessary for the successful implementation of the STEM curriculum</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Become reflective practitioners in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Edmodo account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Any materials requested before the session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Attendance Policy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Participants are expected to arrive on time and to participate in all classes as scheduled. If a participant is absent from a class session, she/he is still responsible for completing the class work and homework assigned for every session.  Participants can only miss five hours of instruction total, the equivalent of two class sessions.  For participants who arrive late, the amount of time missed, rounded up to the nearest half hour, will be included in their missed session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During each class, each participant will be issued a “participation grade” based on his/her engagement in the work. This means that participants should be on task at all times, and all side conversations and use of technology (i.e. cell phones/tablets) should be at a minimum, or not occur at 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Assignments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Homework</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Pre-session - assignments to prepare you for the upcoming session’s content</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Post-session - assignments to evaluate learning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All assignments will be graded as satisfactory or unsatisfactory.  Participants must earn satisfactory on all assignments to receive course credit.  Assignments that are unsatisfactory can be resubmitted once.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Three AUs and three CPD MSDEs will be awarded for the successful completion of the course; ‘successful completion’ will be evaluated based on session attendance, assignment grades, and participation grades.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Statement of Academic Continuity: </w:t>
      </w:r>
      <w:r w:rsidDel="00000000" w:rsidR="00000000" w:rsidRPr="00000000">
        <w:rPr>
          <w:rFonts w:ascii="Times New Roman" w:cs="Times New Roman" w:eastAsia="Times New Roman" w:hAnsi="Times New Roman"/>
          <w:color w:val="000000"/>
          <w:rtl w:val="0"/>
        </w:rPr>
        <w:t xml:space="preserve">Please note that in the event of weather and/or in other extraordinary circumstances, the School of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Education may change the normal academic schedule and/or make appropriate changes to course structure, format, and delivery. In the event such changes become necessary, information will be posted on the Edmodo site.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rtl w:val="0"/>
        </w:rPr>
        <w:t xml:space="preserve">Topics:</w:t>
      </w:r>
    </w:p>
    <w:p w:rsidR="00000000" w:rsidDel="00000000" w:rsidP="00000000" w:rsidRDefault="00000000" w:rsidRPr="00000000">
      <w:pPr>
        <w:contextualSpacing w:val="0"/>
      </w:pPr>
      <w:r w:rsidDel="00000000" w:rsidR="00000000" w:rsidRPr="00000000">
        <w:rPr>
          <w:rtl w:val="0"/>
        </w:rPr>
      </w:r>
    </w:p>
    <w:tbl>
      <w:tblPr>
        <w:tblStyle w:val="Table1"/>
        <w:bidi w:val="0"/>
        <w:tblW w:w="9240.0" w:type="dxa"/>
        <w:jc w:val="left"/>
        <w:tblInd w:w="-105.0" w:type="dxa"/>
        <w:tblLayout w:type="fixed"/>
        <w:tblLook w:val="0400"/>
      </w:tblPr>
      <w:tblGrid>
        <w:gridCol w:w="1005"/>
        <w:gridCol w:w="1155"/>
        <w:gridCol w:w="4725"/>
        <w:gridCol w:w="2355"/>
        <w:tblGridChange w:id="0">
          <w:tblGrid>
            <w:gridCol w:w="1005"/>
            <w:gridCol w:w="1155"/>
            <w:gridCol w:w="4725"/>
            <w:gridCol w:w="235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Session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NGSS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(Disciplinary Core Ideas)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Sept </w:t>
            </w: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Introduction/ Energy in biological systems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PS3.D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Oct </w:t>
            </w: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Photosynthesis &amp; Cellular Respiration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PS3.D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Oct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18</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Matter and Energy in biological systems - Forms and Transfer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PS3.D</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Nov </w:t>
            </w: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Food Chains/Webs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Nov 1</w:t>
            </w: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Energy Pyramids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LS2.C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Nov 29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rtl w:val="0"/>
              </w:rPr>
              <w:t xml:space="preserve">DNA and Protein Synthesis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LS3.A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Dec 13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Inheritances of Traits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LS3.A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LS3.B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Jan </w:t>
            </w: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320"/>
              <w:contextualSpacing w:val="0"/>
              <w:jc w:val="center"/>
            </w:pPr>
            <w:r w:rsidDel="00000000" w:rsidR="00000000" w:rsidRPr="00000000">
              <w:rPr>
                <w:rFonts w:ascii="Times New Roman" w:cs="Times New Roman" w:eastAsia="Times New Roman" w:hAnsi="Times New Roman"/>
                <w:rtl w:val="0"/>
              </w:rPr>
              <w:t xml:space="preserve">Natural Selection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LS4.B</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Jan 31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contextualSpacing w:val="0"/>
              <w:jc w:val="center"/>
            </w:pPr>
            <w:r w:rsidDel="00000000" w:rsidR="00000000" w:rsidRPr="00000000">
              <w:rPr>
                <w:rtl w:val="0"/>
              </w:rPr>
            </w:r>
          </w:p>
          <w:p w:rsidR="00000000" w:rsidDel="00000000" w:rsidP="00000000" w:rsidRDefault="00000000" w:rsidRPr="00000000">
            <w:pPr>
              <w:ind w:left="260"/>
              <w:contextualSpacing w:val="0"/>
              <w:jc w:val="center"/>
            </w:pPr>
            <w:r w:rsidDel="00000000" w:rsidR="00000000" w:rsidRPr="00000000">
              <w:rPr>
                <w:rFonts w:ascii="Times New Roman" w:cs="Times New Roman" w:eastAsia="Times New Roman" w:hAnsi="Times New Roman"/>
                <w:rtl w:val="0"/>
              </w:rPr>
              <w:t xml:space="preserve">Structures/Functions of Traits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LS1.A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LS4.B</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LS4.C</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210.0" w:type="dxa"/>
        <w:jc w:val="left"/>
        <w:tblInd w:w="-105.0" w:type="dxa"/>
        <w:tblLayout w:type="fixed"/>
        <w:tblLook w:val="0400"/>
      </w:tblPr>
      <w:tblGrid>
        <w:gridCol w:w="1080"/>
        <w:gridCol w:w="1155"/>
        <w:gridCol w:w="4650"/>
        <w:gridCol w:w="2325"/>
        <w:tblGridChange w:id="0">
          <w:tblGrid>
            <w:gridCol w:w="1080"/>
            <w:gridCol w:w="1155"/>
            <w:gridCol w:w="4650"/>
            <w:gridCol w:w="2325"/>
          </w:tblGrid>
        </w:tblGridChange>
      </w:tblGrid>
      <w:tr>
        <w:trPr>
          <w:trHeight w:val="8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Session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NGSS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(Disciplinary Core Ideas)</w:t>
            </w:r>
            <w:r w:rsidDel="00000000" w:rsidR="00000000" w:rsidRPr="00000000">
              <w:rPr>
                <w:rtl w:val="0"/>
              </w:rPr>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  Feb 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color w:val="000000"/>
                <w:rtl w:val="0"/>
              </w:rPr>
              <w:t xml:space="preserve">Adaptations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LS4.D</w:t>
            </w:r>
            <w:r w:rsidDel="00000000" w:rsidR="00000000" w:rsidRPr="00000000">
              <w:rPr>
                <w:rtl w:val="0"/>
              </w:rPr>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60" w:hanging="260"/>
              <w:contextualSpacing w:val="0"/>
              <w:jc w:val="center"/>
            </w:pPr>
            <w:r w:rsidDel="00000000" w:rsidR="00000000" w:rsidRPr="00000000">
              <w:rPr>
                <w:rFonts w:ascii="Times New Roman" w:cs="Times New Roman" w:eastAsia="Times New Roman" w:hAnsi="Times New Roman"/>
                <w:rtl w:val="0"/>
              </w:rPr>
              <w:t xml:space="preserve">Evidence of Evolution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LS4.C</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March </w:t>
            </w:r>
            <w:r w:rsidDel="00000000" w:rsidR="00000000" w:rsidRPr="00000000">
              <w:rPr>
                <w:rFonts w:ascii="Times New Roman" w:cs="Times New Roman" w:eastAsia="Times New Roman" w:hAnsi="Times New Roman"/>
                <w:rtl w:val="0"/>
              </w:rPr>
              <w:t xml:space="preserve">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ind w:left="240" w:hanging="240"/>
              <w:contextualSpacing w:val="0"/>
              <w:jc w:val="center"/>
            </w:pPr>
            <w:r w:rsidDel="00000000" w:rsidR="00000000" w:rsidRPr="00000000">
              <w:rPr>
                <w:rFonts w:ascii="Times New Roman" w:cs="Times New Roman" w:eastAsia="Times New Roman" w:hAnsi="Times New Roman"/>
                <w:color w:val="000000"/>
                <w:rtl w:val="0"/>
              </w:rPr>
              <w:t xml:space="preserve">Biomimicry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LS1.A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LS4.C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ETS.1-1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ETS.1-2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ETS.1-3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rtl w:val="0"/>
              </w:rPr>
              <w:t xml:space="preserve">ETS.1-4</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****Snow Dates: March 28, 2017 and April 4, 2017 </w:t>
      </w:r>
    </w:p>
    <w:sectPr>
      <w:pgSz w:h="15840" w:w="12240"/>
      <w:pgMar w:bottom="1440" w:top="1440" w:left="1800" w:right="15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magarcia@bcps.k12.md.us" TargetMode="External"/><Relationship Id="rId7" Type="http://schemas.openxmlformats.org/officeDocument/2006/relationships/hyperlink" Target="mailto:kgokun@bcps.k12.md.us" TargetMode="External"/><Relationship Id="rId8" Type="http://schemas.openxmlformats.org/officeDocument/2006/relationships/hyperlink" Target="mailto:knjenkins@bcps.k12.md.us" TargetMode="External"/></Relationships>
</file>